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75DB5" w14:textId="6D56F5F7" w:rsidR="006F1E06" w:rsidRDefault="003B6D37">
      <w:pPr>
        <w:rPr>
          <w:b/>
          <w:bCs/>
        </w:rPr>
      </w:pPr>
      <w:proofErr w:type="spellStart"/>
      <w:r w:rsidRPr="003B6D37">
        <w:rPr>
          <w:b/>
          <w:bCs/>
        </w:rPr>
        <w:t>Lampwrights</w:t>
      </w:r>
      <w:proofErr w:type="spellEnd"/>
      <w:r w:rsidRPr="003B6D37">
        <w:rPr>
          <w:b/>
          <w:bCs/>
        </w:rPr>
        <w:t xml:space="preserve"> (Docket No. FD 36833) - Surface Transportation Board Request for Comment</w:t>
      </w:r>
    </w:p>
    <w:p w14:paraId="2B94511A" w14:textId="7FDAAB4F" w:rsidR="003B6D37" w:rsidRPr="003B6D37" w:rsidRDefault="003B6D37" w:rsidP="003B6D37">
      <w:pPr>
        <w:jc w:val="both"/>
      </w:pPr>
      <w:r w:rsidRPr="003B6D37">
        <w:t>In looking at the map provided in the Dockett, here are some initial transportation, safety, business concerns and environmental: </w:t>
      </w:r>
    </w:p>
    <w:p w14:paraId="73F81AF9" w14:textId="77777777" w:rsidR="003B6D37" w:rsidRPr="003B6D37" w:rsidRDefault="003B6D37" w:rsidP="003B6D37">
      <w:pPr>
        <w:jc w:val="both"/>
      </w:pPr>
      <w:r w:rsidRPr="003B6D37">
        <w:t>1. Proximity to Brockway</w:t>
      </w:r>
    </w:p>
    <w:p w14:paraId="102FBC12" w14:textId="77777777" w:rsidR="003B6D37" w:rsidRPr="003B6D37" w:rsidRDefault="003B6D37" w:rsidP="003B6D37">
      <w:pPr>
        <w:numPr>
          <w:ilvl w:val="0"/>
          <w:numId w:val="1"/>
        </w:numPr>
        <w:jc w:val="both"/>
      </w:pPr>
      <w:r w:rsidRPr="003B6D37">
        <w:t>The proposed lead track passes very close to the residential community of Brockway, cutting across several local roads and residential access points.  Brockway has likely developed around or across the old right-of-way since it was abandoned.  May still require several new crossings, fencing, and safety improvements because former crossings may not be up to modern standards.</w:t>
      </w:r>
    </w:p>
    <w:p w14:paraId="124EAA86" w14:textId="5C41E233" w:rsidR="003B6D37" w:rsidRPr="003B6D37" w:rsidRDefault="003B6D37" w:rsidP="003B6D37">
      <w:pPr>
        <w:numPr>
          <w:ilvl w:val="0"/>
          <w:numId w:val="1"/>
        </w:numPr>
        <w:jc w:val="both"/>
      </w:pPr>
      <w:r w:rsidRPr="003B6D37">
        <w:t xml:space="preserve">Increased Train Frequency: Regular train operations could severely impact local vehicular circulation within Brockway, particularly on small, narrow rural roads.  Even a single long train (1.25 miles) could still block multiple intersections simultaneously if crossings are close together, depending on train speed and switching requirements.  How traffic </w:t>
      </w:r>
      <w:r>
        <w:t>t</w:t>
      </w:r>
      <w:r w:rsidRPr="003B6D37">
        <w:t>o Both Plant 1 and Plant 2 get via train and what would this additional cars to the landfill do to service?</w:t>
      </w:r>
    </w:p>
    <w:p w14:paraId="6EF0A20E" w14:textId="77777777" w:rsidR="003B6D37" w:rsidRPr="003B6D37" w:rsidRDefault="003B6D37" w:rsidP="003B6D37">
      <w:pPr>
        <w:numPr>
          <w:ilvl w:val="0"/>
          <w:numId w:val="1"/>
        </w:numPr>
        <w:jc w:val="both"/>
      </w:pPr>
      <w:r w:rsidRPr="003B6D37">
        <w:t>Community Division: the new track may create a physical barrier within Brockway, reducing connectivity for residents, school buses, and emergency services.</w:t>
      </w:r>
    </w:p>
    <w:p w14:paraId="4C46817A" w14:textId="668F9E49" w:rsidR="003B6D37" w:rsidRPr="003B6D37" w:rsidRDefault="003B6D37" w:rsidP="003B6D37">
      <w:pPr>
        <w:jc w:val="both"/>
      </w:pPr>
      <w:r w:rsidRPr="003B6D37">
        <w:t> </w:t>
      </w:r>
      <w:r w:rsidRPr="003B6D37">
        <w:rPr>
          <w:b/>
          <w:bCs/>
        </w:rPr>
        <w:t>Recommendation:</w:t>
      </w:r>
      <w:r w:rsidRPr="003B6D37">
        <w:rPr>
          <w:b/>
          <w:bCs/>
        </w:rPr>
        <w:br/>
      </w:r>
      <w:r w:rsidRPr="003B6D37">
        <w:t>The project must incorporate community connectivity mitigation measures, including pedestrian crossings where feasible, accommodation of future recreational trails, and local access improvements.</w:t>
      </w:r>
    </w:p>
    <w:p w14:paraId="43FDF9F4" w14:textId="2EB8359B" w:rsidR="003B6D37" w:rsidRPr="003B6D37" w:rsidRDefault="003B6D37" w:rsidP="003B6D37">
      <w:pPr>
        <w:jc w:val="both"/>
      </w:pPr>
      <w:r w:rsidRPr="003B6D37">
        <w:t> 2. Potential Public Road Crossings</w:t>
      </w:r>
    </w:p>
    <w:p w14:paraId="016AEB66" w14:textId="77777777" w:rsidR="003B6D37" w:rsidRPr="003B6D37" w:rsidRDefault="003B6D37" w:rsidP="003B6D37">
      <w:pPr>
        <w:numPr>
          <w:ilvl w:val="0"/>
          <w:numId w:val="2"/>
        </w:numPr>
        <w:jc w:val="both"/>
      </w:pPr>
      <w:r w:rsidRPr="003B6D37">
        <w:t>The map suggests that the new track will intersect local roads such as Route 219 and potentially other township or secondary roads.  Even with limited train movements, the projected train length of approximately 6,675 feet (over 1.25 miles) could block multiple road crossings simultaneously, affecting residents, businesses, and emergency services, especially in and around Brockway</w:t>
      </w:r>
    </w:p>
    <w:p w14:paraId="7DD54ECA" w14:textId="383FFBAB" w:rsidR="003B6D37" w:rsidRPr="003B6D37" w:rsidRDefault="003B6D37" w:rsidP="003B6D37">
      <w:pPr>
        <w:numPr>
          <w:ilvl w:val="0"/>
          <w:numId w:val="2"/>
        </w:numPr>
        <w:jc w:val="both"/>
      </w:pPr>
      <w:r w:rsidRPr="003B6D37">
        <w:t>Route 219 Impact: Route 219 is a key north-south route for Jefferson County. A new at-grade rail crossing could cause substantial congestion, especially for trucks and commercial traffic supporting the area's manufacturing and agricultural industries, especially on the south side of Brockway.</w:t>
      </w:r>
    </w:p>
    <w:p w14:paraId="7B3C9810" w14:textId="77777777" w:rsidR="003B6D37" w:rsidRPr="003B6D37" w:rsidRDefault="003B6D37" w:rsidP="003B6D37">
      <w:pPr>
        <w:numPr>
          <w:ilvl w:val="0"/>
          <w:numId w:val="2"/>
        </w:numPr>
        <w:jc w:val="both"/>
      </w:pPr>
      <w:r w:rsidRPr="003B6D37">
        <w:lastRenderedPageBreak/>
        <w:t>Pittsburgh Buffalo Highway Intersection: The proposed track passes under or near this corridor. Careful study is needed to avoid long train blocking incidents or dangerous crossings near higher-speed vehicular routes.</w:t>
      </w:r>
    </w:p>
    <w:p w14:paraId="1CFFAEF3" w14:textId="4819C1AF" w:rsidR="003B6D37" w:rsidRPr="003B6D37" w:rsidRDefault="003B6D37" w:rsidP="003B6D37">
      <w:pPr>
        <w:jc w:val="both"/>
      </w:pPr>
      <w:r w:rsidRPr="003B6D37">
        <w:t> </w:t>
      </w:r>
      <w:r w:rsidRPr="003B6D37">
        <w:rPr>
          <w:b/>
          <w:bCs/>
        </w:rPr>
        <w:t>Recommendation:</w:t>
      </w:r>
      <w:r w:rsidRPr="003B6D37">
        <w:br/>
        <w:t xml:space="preserve">A comprehensive Traffic Impact Study should be conducted. Special consideration should be given to emergency access plans and school bus routes </w:t>
      </w:r>
      <w:r>
        <w:t xml:space="preserve">and </w:t>
      </w:r>
      <w:r w:rsidRPr="003B6D37">
        <w:t>safety near all new rail crossings.  Require the installation of modern full crossing protection (gates, lights, bells) at all public road crossings, regardless of train frequency.</w:t>
      </w:r>
    </w:p>
    <w:p w14:paraId="1FCFCCEF" w14:textId="664E87BA" w:rsidR="003B6D37" w:rsidRPr="003B6D37" w:rsidRDefault="003B6D37" w:rsidP="003B6D37">
      <w:pPr>
        <w:jc w:val="both"/>
      </w:pPr>
      <w:r w:rsidRPr="003B6D37">
        <w:t>3. Emergency Response and Access</w:t>
      </w:r>
    </w:p>
    <w:p w14:paraId="01F5BD4D" w14:textId="77777777" w:rsidR="003B6D37" w:rsidRPr="003B6D37" w:rsidRDefault="003B6D37" w:rsidP="003B6D37">
      <w:pPr>
        <w:numPr>
          <w:ilvl w:val="0"/>
          <w:numId w:val="3"/>
        </w:numPr>
        <w:jc w:val="both"/>
      </w:pPr>
      <w:r w:rsidRPr="003B6D37">
        <w:t>Critical Emergency Access Routes: Any blockage or delay caused by trains could drastically affect fire department, ambulance, and police response times.</w:t>
      </w:r>
    </w:p>
    <w:p w14:paraId="4B6BE998" w14:textId="77777777" w:rsidR="003B6D37" w:rsidRPr="003B6D37" w:rsidRDefault="003B6D37" w:rsidP="003B6D37">
      <w:pPr>
        <w:numPr>
          <w:ilvl w:val="0"/>
          <w:numId w:val="3"/>
        </w:numPr>
        <w:jc w:val="both"/>
      </w:pPr>
      <w:r w:rsidRPr="003B6D37">
        <w:t>The project should evaluate whether bridges or grade separations (overpasses/underpasses) are necessary at critical crossings to ensure emergency service reliability.</w:t>
      </w:r>
    </w:p>
    <w:p w14:paraId="7D09DA93" w14:textId="6DB9D20B" w:rsidR="003B6D37" w:rsidRPr="003B6D37" w:rsidRDefault="003B6D37" w:rsidP="003B6D37">
      <w:pPr>
        <w:jc w:val="both"/>
      </w:pPr>
      <w:r w:rsidRPr="003B6D37">
        <w:rPr>
          <w:b/>
          <w:bCs/>
        </w:rPr>
        <w:t> Recommendation:</w:t>
      </w:r>
      <w:r w:rsidRPr="003B6D37">
        <w:br/>
        <w:t>Evaluate the need for grade-separated crossings (overpasses/underpasses) at strategic locations or require fully protected crossings with gates, lights, and bells at all public crossings. If crossings cannot guarantee minimal blockage times, the Board should require grade separations at critical locations or formal emergency contingency plans with nearby municipalities.  Emergency Services Impact Assessments should be conducted in consultation with local first responders. </w:t>
      </w:r>
    </w:p>
    <w:p w14:paraId="41D80997" w14:textId="2017906B" w:rsidR="003B6D37" w:rsidRPr="003B6D37" w:rsidRDefault="003B6D37" w:rsidP="003B6D37">
      <w:pPr>
        <w:jc w:val="both"/>
      </w:pPr>
      <w:r w:rsidRPr="003B6D37">
        <w:t>4. Construction Impacts</w:t>
      </w:r>
    </w:p>
    <w:p w14:paraId="17F4C9BD" w14:textId="77777777" w:rsidR="003B6D37" w:rsidRPr="003B6D37" w:rsidRDefault="003B6D37" w:rsidP="003B6D37">
      <w:pPr>
        <w:numPr>
          <w:ilvl w:val="0"/>
          <w:numId w:val="4"/>
        </w:numPr>
        <w:jc w:val="both"/>
      </w:pPr>
      <w:r w:rsidRPr="003B6D37">
        <w:t>Heavy Construction Traffic: During track laying, heavy equipment and materials will likely use Route 219 and surrounding small roads not built for high volumes of truck traffic, increasing risks of accidents, road damage, and traffic delays.</w:t>
      </w:r>
    </w:p>
    <w:p w14:paraId="24EC1002" w14:textId="77777777" w:rsidR="003B6D37" w:rsidRPr="003B6D37" w:rsidRDefault="003B6D37" w:rsidP="003B6D37">
      <w:pPr>
        <w:numPr>
          <w:ilvl w:val="0"/>
          <w:numId w:val="4"/>
        </w:numPr>
        <w:jc w:val="both"/>
      </w:pPr>
      <w:r w:rsidRPr="003B6D37">
        <w:t>Local Road Damage: Project plans must include commitments to repair or upgrade any roads impacted by heavy construction traffic.</w:t>
      </w:r>
    </w:p>
    <w:p w14:paraId="15600540" w14:textId="430C1E8E" w:rsidR="003B6D37" w:rsidRPr="003B6D37" w:rsidRDefault="003B6D37" w:rsidP="003B6D37">
      <w:pPr>
        <w:jc w:val="both"/>
      </w:pPr>
      <w:r w:rsidRPr="003B6D37">
        <w:rPr>
          <w:b/>
          <w:bCs/>
        </w:rPr>
        <w:t> Recommendation:</w:t>
      </w:r>
      <w:r w:rsidRPr="003B6D37">
        <w:br/>
        <w:t>A Construction Traffic Management Plan must be prepared and implemented, including pre-construction and post-construction roadway condition surveys. Necessary upgrades or repairs must be funded by the project proponent.</w:t>
      </w:r>
    </w:p>
    <w:p w14:paraId="2A3B2A42" w14:textId="42FD0494" w:rsidR="003B6D37" w:rsidRPr="003B6D37" w:rsidRDefault="003B6D37" w:rsidP="003B6D37">
      <w:pPr>
        <w:jc w:val="both"/>
      </w:pPr>
      <w:r w:rsidRPr="003B6D37">
        <w:t> 5. Pedestrian and School Bus Safety</w:t>
      </w:r>
    </w:p>
    <w:p w14:paraId="3AD0F554" w14:textId="77777777" w:rsidR="003B6D37" w:rsidRPr="003B6D37" w:rsidRDefault="003B6D37" w:rsidP="003B6D37">
      <w:pPr>
        <w:numPr>
          <w:ilvl w:val="0"/>
          <w:numId w:val="5"/>
        </w:numPr>
        <w:jc w:val="both"/>
      </w:pPr>
      <w:r w:rsidRPr="003B6D37">
        <w:t>Residential Areas: Given the proximity to Brockway homes and potentially schools, special attention must be paid to school bus routes crossing the new tracks.</w:t>
      </w:r>
    </w:p>
    <w:p w14:paraId="7437CC47" w14:textId="7FA5772E" w:rsidR="003B6D37" w:rsidRPr="003B6D37" w:rsidRDefault="003B6D37" w:rsidP="003B6D37">
      <w:pPr>
        <w:jc w:val="both"/>
      </w:pPr>
      <w:r w:rsidRPr="003B6D37">
        <w:rPr>
          <w:b/>
          <w:bCs/>
        </w:rPr>
        <w:lastRenderedPageBreak/>
        <w:t> Recommendation:</w:t>
      </w:r>
    </w:p>
    <w:p w14:paraId="1BA4A65F" w14:textId="77777777" w:rsidR="003B6D37" w:rsidRPr="003B6D37" w:rsidRDefault="003B6D37" w:rsidP="003B6D37">
      <w:pPr>
        <w:numPr>
          <w:ilvl w:val="0"/>
          <w:numId w:val="6"/>
        </w:numPr>
        <w:jc w:val="both"/>
      </w:pPr>
      <w:r w:rsidRPr="003B6D37">
        <w:t>Design mitigation strategies to preserve pedestrian access, protect community linkages, and accommodate future recreation trail development where possible.  Install active warning devices (gates, lights, bells) at all public road crossings and develop school-specific safety plans. </w:t>
      </w:r>
    </w:p>
    <w:p w14:paraId="1420F85B" w14:textId="09DA229D" w:rsidR="003B6D37" w:rsidRPr="003B6D37" w:rsidRDefault="003B6D37" w:rsidP="003B6D37">
      <w:pPr>
        <w:jc w:val="both"/>
      </w:pPr>
      <w:r w:rsidRPr="003B6D37">
        <w:t> 6. Freight Movement and Intermodal Impacts</w:t>
      </w:r>
    </w:p>
    <w:p w14:paraId="4FE47820" w14:textId="77777777" w:rsidR="003B6D37" w:rsidRPr="003B6D37" w:rsidRDefault="003B6D37" w:rsidP="003B6D37">
      <w:pPr>
        <w:numPr>
          <w:ilvl w:val="0"/>
          <w:numId w:val="7"/>
        </w:numPr>
        <w:jc w:val="both"/>
      </w:pPr>
      <w:r w:rsidRPr="003B6D37">
        <w:t>Additional Rail Traffic on Existing Line: Increased rail traffic from the landfill operations could congest the existing Brockway Branch Line, possibly affecting other industries relying on timely freight service.</w:t>
      </w:r>
    </w:p>
    <w:p w14:paraId="7E366D71" w14:textId="106EA11A" w:rsidR="003B6D37" w:rsidRPr="003B6D37" w:rsidRDefault="003B6D37" w:rsidP="003B6D37">
      <w:pPr>
        <w:jc w:val="both"/>
      </w:pPr>
      <w:r w:rsidRPr="003B6D37">
        <w:rPr>
          <w:b/>
          <w:bCs/>
        </w:rPr>
        <w:t> Recommendation:</w:t>
      </w:r>
      <w:r w:rsidRPr="003B6D37">
        <w:br/>
        <w:t>Conduct a Freight Movement and Scheduling Analysis to ensure efficient integration with existing operations and minimize long-term mobility conflicts.</w:t>
      </w:r>
    </w:p>
    <w:p w14:paraId="00575AC8" w14:textId="1B3E5C5D" w:rsidR="003B6D37" w:rsidRPr="003B6D37" w:rsidRDefault="003B6D37" w:rsidP="003B6D37">
      <w:pPr>
        <w:jc w:val="both"/>
      </w:pPr>
      <w:r w:rsidRPr="003B6D37">
        <w:t>7. Long-Term Community Mobility</w:t>
      </w:r>
    </w:p>
    <w:p w14:paraId="324259DD" w14:textId="77777777" w:rsidR="003B6D37" w:rsidRPr="003B6D37" w:rsidRDefault="003B6D37" w:rsidP="003B6D37">
      <w:pPr>
        <w:numPr>
          <w:ilvl w:val="0"/>
          <w:numId w:val="8"/>
        </w:numPr>
        <w:jc w:val="both"/>
      </w:pPr>
      <w:r w:rsidRPr="003B6D37">
        <w:t>Barrier Effects: Even though the project primarily supports landfill operations, the new rail alignment could restrict future community development, pedestrian movement, recreational trails, and land access unless properly designed.</w:t>
      </w:r>
    </w:p>
    <w:p w14:paraId="23200A31" w14:textId="7BCC7881" w:rsidR="003B6D37" w:rsidRPr="003B6D37" w:rsidRDefault="003B6D37" w:rsidP="003B6D37">
      <w:pPr>
        <w:jc w:val="both"/>
      </w:pPr>
      <w:r w:rsidRPr="003B6D37">
        <w:rPr>
          <w:b/>
          <w:bCs/>
        </w:rPr>
        <w:t>Recommendation:</w:t>
      </w:r>
      <w:r w:rsidRPr="003B6D37">
        <w:br/>
        <w:t>Conduct a Freight Movement and Scheduling Analysis to ensure efficient integration with existing operations and minimize long-term mobility conflicts.</w:t>
      </w:r>
    </w:p>
    <w:p w14:paraId="1CA24D6F" w14:textId="74436343" w:rsidR="003B6D37" w:rsidRPr="003B6D37" w:rsidRDefault="003B6D37" w:rsidP="003B6D37">
      <w:pPr>
        <w:jc w:val="both"/>
      </w:pPr>
      <w:r w:rsidRPr="003B6D37">
        <w:t>8.  Business and Economic Impacts</w:t>
      </w:r>
    </w:p>
    <w:p w14:paraId="198153BF" w14:textId="77777777" w:rsidR="003B6D37" w:rsidRPr="003B6D37" w:rsidRDefault="003B6D37" w:rsidP="003B6D37">
      <w:pPr>
        <w:numPr>
          <w:ilvl w:val="0"/>
          <w:numId w:val="9"/>
        </w:numPr>
        <w:jc w:val="both"/>
      </w:pPr>
      <w:r w:rsidRPr="003B6D37">
        <w:t>Owens-Illinois (O-I) Crenshaw Glass Plant: This major employer relies on uninterrupted access to Route 219 for the movement of goods, raw materials, and employee commuting. Any disruption caused by construction or train operations at crossings could delay shipments, reduce operational efficiency, and impact workforce mobility.</w:t>
      </w:r>
    </w:p>
    <w:p w14:paraId="1176979D" w14:textId="77777777" w:rsidR="003B6D37" w:rsidRPr="003B6D37" w:rsidRDefault="003B6D37" w:rsidP="003B6D37">
      <w:pPr>
        <w:numPr>
          <w:ilvl w:val="0"/>
          <w:numId w:val="9"/>
        </w:numPr>
        <w:jc w:val="both"/>
      </w:pPr>
      <w:r w:rsidRPr="003B6D37">
        <w:t>Regional Supply Chains: O-I’s supply chain and distribution network extends across the region, and any rail-related traffic delays could have cascading effects on their vendors and customers.</w:t>
      </w:r>
    </w:p>
    <w:p w14:paraId="0DA3119E" w14:textId="77777777" w:rsidR="003B6D37" w:rsidRPr="003B6D37" w:rsidRDefault="003B6D37" w:rsidP="003B6D37">
      <w:pPr>
        <w:numPr>
          <w:ilvl w:val="0"/>
          <w:numId w:val="9"/>
        </w:numPr>
        <w:jc w:val="both"/>
      </w:pPr>
      <w:r w:rsidRPr="003B6D37">
        <w:t>Small Businesses in Brockport: Traffic disruptions or restricted access could reduce customer foot traffic, hamper deliveries, and create economic burdens on small businesses in the nearby communities.</w:t>
      </w:r>
    </w:p>
    <w:p w14:paraId="43E79AFD" w14:textId="77777777" w:rsidR="003B6D37" w:rsidRPr="003B6D37" w:rsidRDefault="003B6D37" w:rsidP="003B6D37">
      <w:pPr>
        <w:jc w:val="both"/>
      </w:pPr>
      <w:r w:rsidRPr="003B6D37">
        <w:t> </w:t>
      </w:r>
    </w:p>
    <w:p w14:paraId="2731A56B" w14:textId="77777777" w:rsidR="003B6D37" w:rsidRPr="003B6D37" w:rsidRDefault="003B6D37" w:rsidP="003B6D37">
      <w:pPr>
        <w:jc w:val="both"/>
      </w:pPr>
      <w:r w:rsidRPr="003B6D37">
        <w:rPr>
          <w:b/>
          <w:bCs/>
        </w:rPr>
        <w:lastRenderedPageBreak/>
        <w:t>Recommendation:</w:t>
      </w:r>
      <w:r w:rsidRPr="003B6D37">
        <w:br/>
        <w:t>The environmental review must assess potential economic disruptions to O-I Crenshaw Glass Plant operations and surrounding businesses and develop mitigation strategies. These could include optimized train scheduling, grade separation where necessary, and active communication plans to minimize business disruptions during construction and operation.</w:t>
      </w:r>
    </w:p>
    <w:p w14:paraId="4154D476" w14:textId="43160D97" w:rsidR="003B6D37" w:rsidRPr="003B6D37" w:rsidRDefault="003B6D37" w:rsidP="003B6D37">
      <w:pPr>
        <w:jc w:val="both"/>
      </w:pPr>
      <w:r w:rsidRPr="003B6D37">
        <w:t>9.  Environmental Concerns</w:t>
      </w:r>
    </w:p>
    <w:p w14:paraId="6E677C25" w14:textId="77777777" w:rsidR="003B6D37" w:rsidRPr="003B6D37" w:rsidRDefault="003B6D37" w:rsidP="003B6D37">
      <w:pPr>
        <w:numPr>
          <w:ilvl w:val="0"/>
          <w:numId w:val="10"/>
        </w:numPr>
        <w:jc w:val="both"/>
      </w:pPr>
      <w:r w:rsidRPr="003B6D37">
        <w:t>The old Toby Branch corridor may cross or run near small streams, wetlands, or floodplains.</w:t>
      </w:r>
    </w:p>
    <w:p w14:paraId="13128A03" w14:textId="77777777" w:rsidR="003B6D37" w:rsidRPr="003B6D37" w:rsidRDefault="003B6D37" w:rsidP="003B6D37">
      <w:pPr>
        <w:numPr>
          <w:ilvl w:val="0"/>
          <w:numId w:val="10"/>
        </w:numPr>
        <w:jc w:val="both"/>
      </w:pPr>
      <w:r w:rsidRPr="003B6D37">
        <w:t>Even though it’s an old rail corridor, new fencing, berms, and active train operations could fragment wildlife corridors, particularly for deer</w:t>
      </w:r>
    </w:p>
    <w:p w14:paraId="49453E3A" w14:textId="77777777" w:rsidR="003B6D37" w:rsidRDefault="003B6D37" w:rsidP="003B6D37">
      <w:pPr>
        <w:numPr>
          <w:ilvl w:val="0"/>
          <w:numId w:val="10"/>
        </w:numPr>
        <w:jc w:val="both"/>
      </w:pPr>
      <w:r w:rsidRPr="003B6D37">
        <w:t>The area likely has noise-sensitive receptors (homes, schools, wildlife habitats) close to the alignment</w:t>
      </w:r>
    </w:p>
    <w:p w14:paraId="3BE63E1A" w14:textId="77777777" w:rsidR="003B6D37" w:rsidRPr="003B6D37" w:rsidRDefault="003B6D37" w:rsidP="003B6D37">
      <w:pPr>
        <w:numPr>
          <w:ilvl w:val="0"/>
          <w:numId w:val="10"/>
        </w:numPr>
        <w:jc w:val="both"/>
      </w:pPr>
      <w:r w:rsidRPr="003B6D37">
        <w:t>Streams: no water trails, USACE navigable waters, or scenic rivers</w:t>
      </w:r>
    </w:p>
    <w:p w14:paraId="0AE9363A" w14:textId="46FE6124" w:rsidR="003B6D37" w:rsidRPr="003B6D37" w:rsidRDefault="003B6D37" w:rsidP="003B6D37">
      <w:pPr>
        <w:numPr>
          <w:ilvl w:val="1"/>
          <w:numId w:val="12"/>
        </w:numPr>
        <w:spacing w:after="0"/>
        <w:jc w:val="both"/>
      </w:pPr>
      <w:r w:rsidRPr="003B6D37">
        <w:t xml:space="preserve">Little Toby Creek &amp; </w:t>
      </w:r>
      <w:proofErr w:type="spellStart"/>
      <w:r w:rsidRPr="003B6D37">
        <w:t>Tribs</w:t>
      </w:r>
      <w:proofErr w:type="spellEnd"/>
      <w:r w:rsidRPr="003B6D37">
        <w:t>: trout stocked; Cold Water Fishes (CWF)</w:t>
      </w:r>
    </w:p>
    <w:p w14:paraId="2FD20D30" w14:textId="77777777" w:rsidR="003B6D37" w:rsidRPr="003B6D37" w:rsidRDefault="003B6D37" w:rsidP="003B6D37">
      <w:pPr>
        <w:numPr>
          <w:ilvl w:val="1"/>
          <w:numId w:val="12"/>
        </w:numPr>
        <w:spacing w:after="0"/>
        <w:jc w:val="both"/>
      </w:pPr>
      <w:r w:rsidRPr="003B6D37">
        <w:t xml:space="preserve">Mead Run &amp; </w:t>
      </w:r>
      <w:proofErr w:type="spellStart"/>
      <w:r w:rsidRPr="003B6D37">
        <w:t>Tribs</w:t>
      </w:r>
      <w:proofErr w:type="spellEnd"/>
      <w:r w:rsidRPr="003B6D37">
        <w:t>: wild trout, trout stocked; Cold Water Fishes (CWF)</w:t>
      </w:r>
    </w:p>
    <w:p w14:paraId="2850B42B" w14:textId="77777777" w:rsidR="003B6D37" w:rsidRPr="003B6D37" w:rsidRDefault="003B6D37" w:rsidP="003B6D37">
      <w:pPr>
        <w:numPr>
          <w:ilvl w:val="1"/>
          <w:numId w:val="12"/>
        </w:numPr>
        <w:spacing w:after="0"/>
        <w:jc w:val="both"/>
      </w:pPr>
      <w:r w:rsidRPr="003B6D37">
        <w:t>Boggy Run: wild trout; High Quality</w:t>
      </w:r>
    </w:p>
    <w:p w14:paraId="3B1CA545" w14:textId="77777777" w:rsidR="003B6D37" w:rsidRPr="003B6D37" w:rsidRDefault="003B6D37" w:rsidP="003B6D37">
      <w:pPr>
        <w:numPr>
          <w:ilvl w:val="1"/>
          <w:numId w:val="12"/>
        </w:numPr>
        <w:spacing w:after="0"/>
        <w:jc w:val="both"/>
      </w:pPr>
      <w:r w:rsidRPr="003B6D37">
        <w:t>Oyster Run: wild trout; Cold Water Fishes (CWF)</w:t>
      </w:r>
    </w:p>
    <w:p w14:paraId="54FD2520" w14:textId="77777777" w:rsidR="003B6D37" w:rsidRPr="003B6D37" w:rsidRDefault="003B6D37" w:rsidP="003B6D37">
      <w:pPr>
        <w:numPr>
          <w:ilvl w:val="1"/>
          <w:numId w:val="12"/>
        </w:numPr>
        <w:spacing w:after="0"/>
        <w:jc w:val="both"/>
      </w:pPr>
      <w:r w:rsidRPr="003B6D37">
        <w:t>Bear Run: wild trout; Cold Water Fishes (CWF)</w:t>
      </w:r>
    </w:p>
    <w:p w14:paraId="02D3CA8C" w14:textId="77777777" w:rsidR="003B6D37" w:rsidRPr="003B6D37" w:rsidRDefault="003B6D37" w:rsidP="003B6D37">
      <w:pPr>
        <w:pStyle w:val="NormalWeb"/>
        <w:numPr>
          <w:ilvl w:val="1"/>
          <w:numId w:val="12"/>
        </w:numPr>
        <w:spacing w:before="0" w:beforeAutospacing="0" w:after="0" w:afterAutospacing="0"/>
        <w:rPr>
          <w:rFonts w:asciiTheme="minorHAnsi" w:eastAsiaTheme="minorHAnsi" w:hAnsiTheme="minorHAnsi" w:cstheme="minorBidi"/>
          <w:kern w:val="2"/>
          <w14:ligatures w14:val="standardContextual"/>
        </w:rPr>
      </w:pPr>
      <w:r w:rsidRPr="003B6D37">
        <w:rPr>
          <w:rFonts w:asciiTheme="minorHAnsi" w:eastAsiaTheme="minorHAnsi" w:hAnsiTheme="minorHAnsi" w:cstheme="minorBidi"/>
          <w:kern w:val="2"/>
          <w14:ligatures w14:val="standardContextual"/>
        </w:rPr>
        <w:t>Mine Sites, EPA Sites</w:t>
      </w:r>
    </w:p>
    <w:p w14:paraId="34EE822F" w14:textId="77777777" w:rsidR="003B6D37" w:rsidRDefault="003B6D37" w:rsidP="003B6D37">
      <w:pPr>
        <w:pStyle w:val="NormalWeb"/>
        <w:numPr>
          <w:ilvl w:val="0"/>
          <w:numId w:val="11"/>
        </w:numPr>
        <w:rPr>
          <w:rFonts w:asciiTheme="minorHAnsi" w:eastAsiaTheme="minorHAnsi" w:hAnsiTheme="minorHAnsi" w:cstheme="minorBidi"/>
          <w:kern w:val="2"/>
          <w14:ligatures w14:val="standardContextual"/>
        </w:rPr>
      </w:pPr>
      <w:r w:rsidRPr="003B6D37">
        <w:rPr>
          <w:rFonts w:asciiTheme="minorHAnsi" w:eastAsiaTheme="minorHAnsi" w:hAnsiTheme="minorHAnsi" w:cstheme="minorBidi"/>
          <w:kern w:val="2"/>
          <w14:ligatures w14:val="standardContextual"/>
        </w:rPr>
        <w:t xml:space="preserve">Mine sites (not all-inclusive): </w:t>
      </w:r>
    </w:p>
    <w:p w14:paraId="120E1788" w14:textId="22CD3171" w:rsidR="003B6D37" w:rsidRPr="003B6D37" w:rsidRDefault="003B6D37" w:rsidP="003B6D37">
      <w:pPr>
        <w:pStyle w:val="NormalWeb"/>
        <w:numPr>
          <w:ilvl w:val="1"/>
          <w:numId w:val="11"/>
        </w:numPr>
        <w:rPr>
          <w:rFonts w:asciiTheme="minorHAnsi" w:eastAsiaTheme="minorHAnsi" w:hAnsiTheme="minorHAnsi" w:cstheme="minorBidi"/>
          <w:kern w:val="2"/>
          <w14:ligatures w14:val="standardContextual"/>
        </w:rPr>
      </w:pPr>
      <w:r w:rsidRPr="003B6D37">
        <w:rPr>
          <w:rFonts w:asciiTheme="minorHAnsi" w:eastAsiaTheme="minorHAnsi" w:hAnsiTheme="minorHAnsi" w:cstheme="minorBidi"/>
          <w:kern w:val="2"/>
          <w14:ligatures w14:val="standardContextual"/>
        </w:rPr>
        <w:t xml:space="preserve">Little Toby Coal, Meade Run, Brockport, </w:t>
      </w:r>
      <w:proofErr w:type="spellStart"/>
      <w:r w:rsidRPr="003B6D37">
        <w:rPr>
          <w:rFonts w:asciiTheme="minorHAnsi" w:eastAsiaTheme="minorHAnsi" w:hAnsiTheme="minorHAnsi" w:cstheme="minorBidi"/>
          <w:kern w:val="2"/>
          <w14:ligatures w14:val="standardContextual"/>
        </w:rPr>
        <w:t>Tamburlin</w:t>
      </w:r>
      <w:proofErr w:type="spellEnd"/>
      <w:r w:rsidRPr="003B6D37">
        <w:rPr>
          <w:rFonts w:asciiTheme="minorHAnsi" w:eastAsiaTheme="minorHAnsi" w:hAnsiTheme="minorHAnsi" w:cstheme="minorBidi"/>
          <w:kern w:val="2"/>
          <w14:ligatures w14:val="standardContextual"/>
        </w:rPr>
        <w:t xml:space="preserve"> #8, Esquire Fuel Co, The Dome,</w:t>
      </w:r>
    </w:p>
    <w:p w14:paraId="41A97880" w14:textId="77777777" w:rsidR="003B6D37" w:rsidRPr="003B6D37" w:rsidRDefault="003B6D37" w:rsidP="003B6D37">
      <w:pPr>
        <w:pStyle w:val="NormalWeb"/>
        <w:numPr>
          <w:ilvl w:val="1"/>
          <w:numId w:val="11"/>
        </w:numPr>
        <w:rPr>
          <w:rFonts w:asciiTheme="minorHAnsi" w:eastAsiaTheme="minorHAnsi" w:hAnsiTheme="minorHAnsi" w:cstheme="minorBidi"/>
          <w:kern w:val="2"/>
          <w14:ligatures w14:val="standardContextual"/>
        </w:rPr>
      </w:pPr>
      <w:r w:rsidRPr="003B6D37">
        <w:rPr>
          <w:rFonts w:asciiTheme="minorHAnsi" w:eastAsiaTheme="minorHAnsi" w:hAnsiTheme="minorHAnsi" w:cstheme="minorBidi"/>
          <w:kern w:val="2"/>
          <w14:ligatures w14:val="standardContextual"/>
        </w:rPr>
        <w:t>Brockport NE, Bianco, Monarch #1</w:t>
      </w:r>
    </w:p>
    <w:p w14:paraId="1D80AAE8" w14:textId="3826CCE0" w:rsidR="003B6D37" w:rsidRPr="003B6D37" w:rsidRDefault="003B6D37" w:rsidP="003B6D37">
      <w:pPr>
        <w:pStyle w:val="NormalWeb"/>
        <w:numPr>
          <w:ilvl w:val="1"/>
          <w:numId w:val="11"/>
        </w:numPr>
        <w:rPr>
          <w:rFonts w:asciiTheme="minorHAnsi" w:eastAsiaTheme="minorHAnsi" w:hAnsiTheme="minorHAnsi" w:cstheme="minorBidi"/>
          <w:kern w:val="2"/>
          <w14:ligatures w14:val="standardContextual"/>
        </w:rPr>
      </w:pPr>
      <w:r w:rsidRPr="003B6D37">
        <w:rPr>
          <w:rFonts w:asciiTheme="minorHAnsi" w:eastAsiaTheme="minorHAnsi" w:hAnsiTheme="minorHAnsi" w:cstheme="minorBidi"/>
          <w:kern w:val="2"/>
          <w14:ligatures w14:val="standardContextual"/>
        </w:rPr>
        <w:t>Various sediment ponds &amp; treatment facilities</w:t>
      </w:r>
    </w:p>
    <w:p w14:paraId="6C29490A" w14:textId="438E8FAE" w:rsidR="003B6D37" w:rsidRPr="003B6D37" w:rsidRDefault="003B6D37" w:rsidP="003B6D37">
      <w:pPr>
        <w:pStyle w:val="NormalWeb"/>
        <w:numPr>
          <w:ilvl w:val="1"/>
          <w:numId w:val="11"/>
        </w:numPr>
        <w:rPr>
          <w:rFonts w:asciiTheme="minorHAnsi" w:eastAsiaTheme="minorHAnsi" w:hAnsiTheme="minorHAnsi" w:cstheme="minorBidi"/>
          <w:kern w:val="2"/>
          <w14:ligatures w14:val="standardContextual"/>
        </w:rPr>
      </w:pPr>
      <w:r w:rsidRPr="003B6D37">
        <w:rPr>
          <w:rFonts w:asciiTheme="minorHAnsi" w:eastAsiaTheme="minorHAnsi" w:hAnsiTheme="minorHAnsi" w:cstheme="minorBidi"/>
          <w:kern w:val="2"/>
          <w14:ligatures w14:val="standardContextual"/>
        </w:rPr>
        <w:t>EPA sites: Cristinis Auto Wrecking, Owens Brockway Glass Plant, North Star Aggregates</w:t>
      </w:r>
    </w:p>
    <w:p w14:paraId="0B077ED0" w14:textId="60B434FC" w:rsidR="003B6D37" w:rsidRPr="003B6D37" w:rsidRDefault="003B6D37" w:rsidP="003B6D37">
      <w:pPr>
        <w:jc w:val="both"/>
      </w:pPr>
      <w:r w:rsidRPr="003B6D37">
        <w:rPr>
          <w:b/>
          <w:bCs/>
        </w:rPr>
        <w:t>Recommendation:</w:t>
      </w:r>
    </w:p>
    <w:p w14:paraId="3998B274" w14:textId="77777777" w:rsidR="003B6D37" w:rsidRPr="003B6D37" w:rsidRDefault="003B6D37" w:rsidP="003B6D37">
      <w:pPr>
        <w:jc w:val="both"/>
      </w:pPr>
      <w:r w:rsidRPr="003B6D37">
        <w:t>The proposed rail line, while utilizing a former railroad corridor, presents risks to water quality, habitat connectivity, historic resources, and air quality during construction and operation. We should strongly recommend and require detailed studies addressing wetlands, contamination risks, wildlife habitat disruption, and cumulative impacts associated with landfill expansion. Special attention must also be paid to resilience in rail infrastructure design.</w:t>
      </w:r>
    </w:p>
    <w:p w14:paraId="323BF80C" w14:textId="77777777" w:rsidR="003B6D37" w:rsidRPr="003B6D37" w:rsidRDefault="003B6D37" w:rsidP="003B6D37">
      <w:pPr>
        <w:jc w:val="both"/>
      </w:pPr>
    </w:p>
    <w:sectPr w:rsidR="003B6D37" w:rsidRPr="003B6D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73953"/>
    <w:multiLevelType w:val="multilevel"/>
    <w:tmpl w:val="E3B8A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227F2C"/>
    <w:multiLevelType w:val="multilevel"/>
    <w:tmpl w:val="FD2E91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8E2F9D"/>
    <w:multiLevelType w:val="multilevel"/>
    <w:tmpl w:val="CB204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C538B2"/>
    <w:multiLevelType w:val="multilevel"/>
    <w:tmpl w:val="A5960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A345327"/>
    <w:multiLevelType w:val="multilevel"/>
    <w:tmpl w:val="68305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BC4C3A"/>
    <w:multiLevelType w:val="multilevel"/>
    <w:tmpl w:val="190665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8B4C2E"/>
    <w:multiLevelType w:val="multilevel"/>
    <w:tmpl w:val="8AFA3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8F06BE"/>
    <w:multiLevelType w:val="multilevel"/>
    <w:tmpl w:val="9E64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2AD7E29"/>
    <w:multiLevelType w:val="multilevel"/>
    <w:tmpl w:val="63228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9945092"/>
    <w:multiLevelType w:val="multilevel"/>
    <w:tmpl w:val="5754B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6DE256B"/>
    <w:multiLevelType w:val="multilevel"/>
    <w:tmpl w:val="444C9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135BF3"/>
    <w:multiLevelType w:val="multilevel"/>
    <w:tmpl w:val="BF524C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1771332">
    <w:abstractNumId w:val="0"/>
  </w:num>
  <w:num w:numId="2" w16cid:durableId="198973799">
    <w:abstractNumId w:val="3"/>
  </w:num>
  <w:num w:numId="3" w16cid:durableId="1433745823">
    <w:abstractNumId w:val="6"/>
  </w:num>
  <w:num w:numId="4" w16cid:durableId="1920365525">
    <w:abstractNumId w:val="7"/>
  </w:num>
  <w:num w:numId="5" w16cid:durableId="1953897647">
    <w:abstractNumId w:val="2"/>
  </w:num>
  <w:num w:numId="6" w16cid:durableId="1461915473">
    <w:abstractNumId w:val="4"/>
  </w:num>
  <w:num w:numId="7" w16cid:durableId="1852142298">
    <w:abstractNumId w:val="8"/>
  </w:num>
  <w:num w:numId="8" w16cid:durableId="39399105">
    <w:abstractNumId w:val="9"/>
  </w:num>
  <w:num w:numId="9" w16cid:durableId="1533305892">
    <w:abstractNumId w:val="10"/>
  </w:num>
  <w:num w:numId="10" w16cid:durableId="1699505505">
    <w:abstractNumId w:val="1"/>
  </w:num>
  <w:num w:numId="11" w16cid:durableId="1396274099">
    <w:abstractNumId w:val="11"/>
  </w:num>
  <w:num w:numId="12" w16cid:durableId="4189841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D37"/>
    <w:rsid w:val="000C28E0"/>
    <w:rsid w:val="00105DD1"/>
    <w:rsid w:val="00344AA3"/>
    <w:rsid w:val="003B6D37"/>
    <w:rsid w:val="006F1E06"/>
    <w:rsid w:val="00A43FB6"/>
    <w:rsid w:val="00C25B48"/>
    <w:rsid w:val="00FE5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18D03"/>
  <w15:chartTrackingRefBased/>
  <w15:docId w15:val="{E378605D-3660-4B16-B34B-CE889489F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D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6D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6D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6D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6D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6D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D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D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D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D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6D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6D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6D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6D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6D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D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D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D37"/>
    <w:rPr>
      <w:rFonts w:eastAsiaTheme="majorEastAsia" w:cstheme="majorBidi"/>
      <w:color w:val="272727" w:themeColor="text1" w:themeTint="D8"/>
    </w:rPr>
  </w:style>
  <w:style w:type="paragraph" w:styleId="Title">
    <w:name w:val="Title"/>
    <w:basedOn w:val="Normal"/>
    <w:next w:val="Normal"/>
    <w:link w:val="TitleChar"/>
    <w:uiPriority w:val="10"/>
    <w:qFormat/>
    <w:rsid w:val="003B6D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D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D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D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D37"/>
    <w:pPr>
      <w:spacing w:before="160"/>
      <w:jc w:val="center"/>
    </w:pPr>
    <w:rPr>
      <w:i/>
      <w:iCs/>
      <w:color w:val="404040" w:themeColor="text1" w:themeTint="BF"/>
    </w:rPr>
  </w:style>
  <w:style w:type="character" w:customStyle="1" w:styleId="QuoteChar">
    <w:name w:val="Quote Char"/>
    <w:basedOn w:val="DefaultParagraphFont"/>
    <w:link w:val="Quote"/>
    <w:uiPriority w:val="29"/>
    <w:rsid w:val="003B6D37"/>
    <w:rPr>
      <w:i/>
      <w:iCs/>
      <w:color w:val="404040" w:themeColor="text1" w:themeTint="BF"/>
    </w:rPr>
  </w:style>
  <w:style w:type="paragraph" w:styleId="ListParagraph">
    <w:name w:val="List Paragraph"/>
    <w:basedOn w:val="Normal"/>
    <w:uiPriority w:val="34"/>
    <w:qFormat/>
    <w:rsid w:val="003B6D37"/>
    <w:pPr>
      <w:ind w:left="720"/>
      <w:contextualSpacing/>
    </w:pPr>
  </w:style>
  <w:style w:type="character" w:styleId="IntenseEmphasis">
    <w:name w:val="Intense Emphasis"/>
    <w:basedOn w:val="DefaultParagraphFont"/>
    <w:uiPriority w:val="21"/>
    <w:qFormat/>
    <w:rsid w:val="003B6D37"/>
    <w:rPr>
      <w:i/>
      <w:iCs/>
      <w:color w:val="2F5496" w:themeColor="accent1" w:themeShade="BF"/>
    </w:rPr>
  </w:style>
  <w:style w:type="paragraph" w:styleId="IntenseQuote">
    <w:name w:val="Intense Quote"/>
    <w:basedOn w:val="Normal"/>
    <w:next w:val="Normal"/>
    <w:link w:val="IntenseQuoteChar"/>
    <w:uiPriority w:val="30"/>
    <w:qFormat/>
    <w:rsid w:val="003B6D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6D37"/>
    <w:rPr>
      <w:i/>
      <w:iCs/>
      <w:color w:val="2F5496" w:themeColor="accent1" w:themeShade="BF"/>
    </w:rPr>
  </w:style>
  <w:style w:type="character" w:styleId="IntenseReference">
    <w:name w:val="Intense Reference"/>
    <w:basedOn w:val="DefaultParagraphFont"/>
    <w:uiPriority w:val="32"/>
    <w:qFormat/>
    <w:rsid w:val="003B6D37"/>
    <w:rPr>
      <w:b/>
      <w:bCs/>
      <w:smallCaps/>
      <w:color w:val="2F5496" w:themeColor="accent1" w:themeShade="BF"/>
      <w:spacing w:val="5"/>
    </w:rPr>
  </w:style>
  <w:style w:type="paragraph" w:styleId="NormalWeb">
    <w:name w:val="Normal (Web)"/>
    <w:basedOn w:val="Normal"/>
    <w:uiPriority w:val="99"/>
    <w:semiHidden/>
    <w:unhideWhenUsed/>
    <w:rsid w:val="003B6D3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961270">
      <w:bodyDiv w:val="1"/>
      <w:marLeft w:val="0"/>
      <w:marRight w:val="0"/>
      <w:marTop w:val="0"/>
      <w:marBottom w:val="0"/>
      <w:divBdr>
        <w:top w:val="none" w:sz="0" w:space="0" w:color="auto"/>
        <w:left w:val="none" w:sz="0" w:space="0" w:color="auto"/>
        <w:bottom w:val="none" w:sz="0" w:space="0" w:color="auto"/>
        <w:right w:val="none" w:sz="0" w:space="0" w:color="auto"/>
      </w:divBdr>
    </w:div>
    <w:div w:id="189730945">
      <w:bodyDiv w:val="1"/>
      <w:marLeft w:val="0"/>
      <w:marRight w:val="0"/>
      <w:marTop w:val="0"/>
      <w:marBottom w:val="0"/>
      <w:divBdr>
        <w:top w:val="none" w:sz="0" w:space="0" w:color="auto"/>
        <w:left w:val="none" w:sz="0" w:space="0" w:color="auto"/>
        <w:bottom w:val="none" w:sz="0" w:space="0" w:color="auto"/>
        <w:right w:val="none" w:sz="0" w:space="0" w:color="auto"/>
      </w:divBdr>
    </w:div>
    <w:div w:id="1287469942">
      <w:bodyDiv w:val="1"/>
      <w:marLeft w:val="0"/>
      <w:marRight w:val="0"/>
      <w:marTop w:val="0"/>
      <w:marBottom w:val="0"/>
      <w:divBdr>
        <w:top w:val="none" w:sz="0" w:space="0" w:color="auto"/>
        <w:left w:val="none" w:sz="0" w:space="0" w:color="auto"/>
        <w:bottom w:val="none" w:sz="0" w:space="0" w:color="auto"/>
        <w:right w:val="none" w:sz="0" w:space="0" w:color="auto"/>
      </w:divBdr>
    </w:div>
    <w:div w:id="141809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1219</Words>
  <Characters>6952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Kessler</dc:creator>
  <cp:keywords/>
  <dc:description/>
  <cp:lastModifiedBy>Webster, Elizabeth</cp:lastModifiedBy>
  <cp:revision>2</cp:revision>
  <dcterms:created xsi:type="dcterms:W3CDTF">2025-05-27T19:25:00Z</dcterms:created>
  <dcterms:modified xsi:type="dcterms:W3CDTF">2025-05-27T19:25:00Z</dcterms:modified>
</cp:coreProperties>
</file>